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7C6" w:rsidRDefault="002627C6" w:rsidP="002627C6">
      <w:pPr>
        <w:ind w:firstLine="709"/>
        <w:jc w:val="both"/>
      </w:pPr>
      <w:r>
        <w:t>Вступительное слово</w:t>
      </w:r>
    </w:p>
    <w:p w:rsidR="002627C6" w:rsidRDefault="002627C6" w:rsidP="002627C6">
      <w:pPr>
        <w:ind w:firstLine="709"/>
        <w:jc w:val="both"/>
      </w:pPr>
      <w:r>
        <w:t xml:space="preserve">Эстетика как философское учение о </w:t>
      </w:r>
      <w:proofErr w:type="gramStart"/>
      <w:r>
        <w:t>прекрасном</w:t>
      </w:r>
      <w:proofErr w:type="gramEnd"/>
      <w:r>
        <w:t xml:space="preserve"> составляет неотъемлемую часть философии, принадлежащую к нормативному сегменту ценностной рефлексии. Только с наступлением эпохи Просвещения и преодолением </w:t>
      </w:r>
      <w:proofErr w:type="spellStart"/>
      <w:r>
        <w:t>нормативистских</w:t>
      </w:r>
      <w:proofErr w:type="spellEnd"/>
      <w:r>
        <w:t xml:space="preserve"> подходов в поэтике эстетика смогла состояться в своём аутентичном проблемном габитусе с </w:t>
      </w:r>
      <w:proofErr w:type="gramStart"/>
      <w:r>
        <w:t>подобающими</w:t>
      </w:r>
      <w:proofErr w:type="gramEnd"/>
      <w:r>
        <w:t xml:space="preserve"> дисциплинарными </w:t>
      </w:r>
      <w:proofErr w:type="spellStart"/>
      <w:r>
        <w:t>аквизитами</w:t>
      </w:r>
      <w:proofErr w:type="spellEnd"/>
      <w:r>
        <w:t>.</w:t>
      </w:r>
    </w:p>
    <w:p w:rsidR="002627C6" w:rsidRDefault="002627C6" w:rsidP="002627C6">
      <w:pPr>
        <w:ind w:firstLine="709"/>
        <w:jc w:val="both"/>
      </w:pPr>
      <w:r>
        <w:t xml:space="preserve">В роли «крестного отца» эстетики, давшего ей её имя, выступил </w:t>
      </w:r>
      <w:proofErr w:type="spellStart"/>
      <w:r>
        <w:t>вольфианец</w:t>
      </w:r>
      <w:proofErr w:type="spellEnd"/>
      <w:r>
        <w:t xml:space="preserve"> А. </w:t>
      </w:r>
      <w:proofErr w:type="spellStart"/>
      <w:r>
        <w:t>Баумгартен</w:t>
      </w:r>
      <w:proofErr w:type="spellEnd"/>
      <w:r>
        <w:t xml:space="preserve">, что стало завершением предварительной фазы   её   системной   легитимации.    В   ходе   дискуссии    между И. </w:t>
      </w:r>
      <w:proofErr w:type="spellStart"/>
      <w:r>
        <w:t>Винкельманом</w:t>
      </w:r>
      <w:proofErr w:type="spellEnd"/>
      <w:r>
        <w:t xml:space="preserve"> и Т. Лессингом был выявлен проблематический нерв эстетики и намечена системообразующая оппозиция, гарантирующая ей теоретическую автономию.</w:t>
      </w:r>
    </w:p>
    <w:p w:rsidR="002627C6" w:rsidRDefault="002627C6" w:rsidP="002627C6">
      <w:pPr>
        <w:ind w:firstLine="709"/>
        <w:jc w:val="both"/>
      </w:pPr>
      <w:r>
        <w:t>В трансцендентальном идеализ</w:t>
      </w:r>
      <w:r>
        <w:t xml:space="preserve">ме И. Канта была сформулирована </w:t>
      </w:r>
      <w:r>
        <w:t xml:space="preserve">«антиномия вкуса», показана роль гения в художественном творчестве и поставлена проблема </w:t>
      </w:r>
      <w:proofErr w:type="spellStart"/>
      <w:r>
        <w:t>общезначимости</w:t>
      </w:r>
      <w:proofErr w:type="spellEnd"/>
      <w:r>
        <w:t xml:space="preserve"> эстетических обобщений. В немецком романтизме в субъективистском ключе рассматривались вопросы релевантного сюжетообразующего конфликта в творчестве, проблемы границ творческой свободы художника, были выявлены сущностные признаки эстетической дистанции. В философии Ф.В.Й. Шеллинга искусство получило статус «органона философии», вследствие чего эстетическая проблематика приобрела главенствующее положение по отношению ко всем частным философским </w:t>
      </w:r>
      <w:proofErr w:type="spellStart"/>
      <w:r>
        <w:t>проблематизациям</w:t>
      </w:r>
      <w:proofErr w:type="spellEnd"/>
      <w:r>
        <w:t xml:space="preserve">. </w:t>
      </w:r>
      <w:proofErr w:type="gramStart"/>
      <w:r>
        <w:t>Важнейшим достижением этого этапа можно считать построение морфологии эстетического опосредствования, выражающейся в специфике отдельных     искусств.</w:t>
      </w:r>
      <w:proofErr w:type="gramEnd"/>
      <w:r>
        <w:t xml:space="preserve">     Г.В.Ф. Гегель,     руководствуясь     своей</w:t>
      </w:r>
      <w:r>
        <w:t xml:space="preserve"> </w:t>
      </w:r>
      <w:r>
        <w:t>монистической системой, снизил статус мировоззренческих притязаний эстетики, но компенсировал это низведение до</w:t>
      </w:r>
      <w:r>
        <w:t xml:space="preserve"> </w:t>
      </w:r>
      <w:r>
        <w:t>«чувственной формы» проявления духа беспрецедентным обогащением эстетики по линии исторического содержания.</w:t>
      </w:r>
    </w:p>
    <w:p w:rsidR="002627C6" w:rsidRDefault="002627C6" w:rsidP="002627C6">
      <w:pPr>
        <w:ind w:firstLine="709"/>
        <w:jc w:val="both"/>
      </w:pPr>
      <w:r>
        <w:t xml:space="preserve">В XIX веке эстетика развивается в контексте идейного антагонизма между позитивистскими тенденциями и </w:t>
      </w:r>
      <w:proofErr w:type="spellStart"/>
      <w:r>
        <w:t>посткритическим</w:t>
      </w:r>
      <w:proofErr w:type="spellEnd"/>
      <w:r>
        <w:t xml:space="preserve"> иррационализмом. С возникновением различных декадентских направлений эстетика получила новый импульс к развитию, обретя уникальный шанс на общемировоззренческую санкцию, став инстанцией, программирующей в проективном ключе основные тенденции художественной практики. Эта тенденция привела к кризису реализма, отражавшему общие закономерности кризиса исторической референции в ценностных обобщениях.</w:t>
      </w:r>
    </w:p>
    <w:p w:rsidR="002627C6" w:rsidRDefault="002627C6" w:rsidP="002627C6">
      <w:pPr>
        <w:ind w:firstLine="709"/>
        <w:jc w:val="both"/>
      </w:pPr>
      <w:r>
        <w:lastRenderedPageBreak/>
        <w:t xml:space="preserve">В XX веке эстетика оказалась вовлечённой в идеологические конфликты, внёсшие серьёзные деформации в её теоретическую структуру, что привело к отмиранию некоторых её функций и к появлению новых обобщающих опций. Прологом к этим процессам можно считать консультативную эстетику Б. </w:t>
      </w:r>
      <w:proofErr w:type="spellStart"/>
      <w:r>
        <w:t>Кроче</w:t>
      </w:r>
      <w:proofErr w:type="spellEnd"/>
      <w:r>
        <w:t xml:space="preserve"> (избавившего эстетику от метафизических рецидивов), концепцию Г. </w:t>
      </w:r>
      <w:proofErr w:type="spellStart"/>
      <w:r>
        <w:t>Шпета</w:t>
      </w:r>
      <w:proofErr w:type="spellEnd"/>
      <w:r>
        <w:t xml:space="preserve"> (раскрывшего смысл кризиса реализма) и целый ряд предметных исследований, ориентированных на анализ генезиса специфических черт эстетической коллизии. Были предприняты опыты по </w:t>
      </w:r>
      <w:proofErr w:type="spellStart"/>
      <w:r>
        <w:t>онтологизации</w:t>
      </w:r>
      <w:proofErr w:type="spellEnd"/>
      <w:r>
        <w:t xml:space="preserve"> эстетики, как в ключе «критической онтологии» Н. Гартмана, так и в русле марксистской традиции (Т.В. </w:t>
      </w:r>
      <w:proofErr w:type="spellStart"/>
      <w:r>
        <w:t>Адорно</w:t>
      </w:r>
      <w:proofErr w:type="spellEnd"/>
      <w:r>
        <w:t>, Г. Лукач, А. Грамши). Важнейшими достижениями отечественной эстетики можно считать грандиозные исторические реконструкции эстетического контекста предшествующих эпох в трудах А.Ф. Лосева и актуализацию критического потенциала эстетики в «полемическом марксизме» М.А. Лифшица.</w:t>
      </w:r>
    </w:p>
    <w:p w:rsidR="003B3848" w:rsidRPr="002627C6" w:rsidRDefault="002627C6" w:rsidP="002627C6">
      <w:pPr>
        <w:ind w:firstLine="709"/>
        <w:jc w:val="both"/>
      </w:pPr>
      <w:r>
        <w:t xml:space="preserve"> </w:t>
      </w:r>
      <w:bookmarkStart w:id="0" w:name="_GoBack"/>
      <w:bookmarkEnd w:id="0"/>
      <w:r>
        <w:t xml:space="preserve">Современная эстетика характеризуется богатством течений и направлений, внутренняя инспирация которых во многих отношениях является спорной, поскольку в ней наблюдается конкуренция между идеологическими установками, «чистым» академизмом и мировоззренческими антиципациями, ценностный смысл которых не имеет однозначной </w:t>
      </w:r>
      <w:proofErr w:type="spellStart"/>
      <w:r>
        <w:t>интерпретативной</w:t>
      </w:r>
      <w:proofErr w:type="spellEnd"/>
      <w:r>
        <w:t xml:space="preserve"> нормы.</w:t>
      </w:r>
    </w:p>
    <w:sectPr w:rsidR="003B3848" w:rsidRPr="00262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BEA"/>
    <w:rsid w:val="002627C6"/>
    <w:rsid w:val="003B3848"/>
    <w:rsid w:val="00C03BEA"/>
    <w:rsid w:val="00CC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3</cp:revision>
  <dcterms:created xsi:type="dcterms:W3CDTF">2023-08-13T13:31:00Z</dcterms:created>
  <dcterms:modified xsi:type="dcterms:W3CDTF">2023-08-13T13:53:00Z</dcterms:modified>
</cp:coreProperties>
</file>